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FD" w:rsidRDefault="005E2A53">
      <w:pPr>
        <w:pStyle w:val="Heading1"/>
        <w:keepNext w:val="0"/>
        <w:spacing w:before="0" w:after="322"/>
      </w:pPr>
      <w:hyperlink w:anchor="creating-graphs-in-stata" w:history="1">
        <w:bookmarkStart w:id="0" w:name="creating-graphs-in-stata"/>
        <w:r>
          <w:rPr>
            <w:color w:val="0000EE"/>
            <w:u w:val="single" w:color="0000EE"/>
          </w:rPr>
          <w:t>Creating graphs in Stata</w:t>
        </w:r>
      </w:hyperlink>
      <w:bookmarkEnd w:id="0"/>
    </w:p>
    <w:p w:rsidR="008935FD" w:rsidRDefault="005E2A53">
      <w:pPr>
        <w:spacing w:before="240" w:after="240"/>
      </w:pPr>
      <w:r>
        <w:t xml:space="preserve">Below we review some diagnostic plots available in Stata, and we demonstrate how to overlay plots. We use </w:t>
      </w:r>
      <w:r>
        <w:rPr>
          <w:rFonts w:ascii="Courier New" w:eastAsia="Courier New" w:hAnsi="Courier New" w:cs="Courier New"/>
          <w:sz w:val="20"/>
          <w:szCs w:val="20"/>
        </w:rPr>
        <w:t>auto.dta</w:t>
      </w:r>
      <w:r>
        <w:t>, which contains pricing and mileage data for 1978 automobiles.</w:t>
      </w:r>
    </w:p>
    <w:p w:rsidR="008935FD" w:rsidRDefault="005E2A53">
      <w:pPr>
        <w:ind w:left="15" w:right="15"/>
        <w:rPr>
          <w:color w:val="808080"/>
        </w:rPr>
      </w:pPr>
      <w:r>
        <w:pict>
          <v:rect id="_x0000_i1025" style="width:468pt;height:1.5pt" o:hralign="center" o:hrstd="t" o:hr="t" fillcolor="gray" stroked="f">
            <v:path strokeok="f"/>
          </v:rect>
        </w:pict>
      </w:r>
    </w:p>
    <w:p w:rsidR="008935FD" w:rsidRDefault="005E2A53">
      <w:pPr>
        <w:pStyle w:val="Heading2"/>
        <w:keepNext w:val="0"/>
        <w:spacing w:before="299" w:after="299"/>
      </w:pPr>
      <w:hyperlink w:anchor="plotting-predictions" w:history="1">
        <w:bookmarkStart w:id="1" w:name="plotting-predictions"/>
        <w:r>
          <w:rPr>
            <w:iCs w:val="0"/>
            <w:color w:val="0000EE"/>
            <w:u w:val="single" w:color="0000EE"/>
          </w:rPr>
          <w:t>Plotting predictions</w:t>
        </w:r>
      </w:hyperlink>
      <w:bookmarkEnd w:id="1"/>
    </w:p>
    <w:p w:rsidR="008935FD" w:rsidRDefault="005E2A53">
      <w:pPr>
        <w:spacing w:before="240" w:after="240"/>
      </w:pPr>
      <w:r>
        <w:t xml:space="preserve">We are interested in modeling the mean of </w:t>
      </w:r>
      <w:r>
        <w:rPr>
          <w:b/>
          <w:bCs/>
        </w:rPr>
        <w:t>mpg</w:t>
      </w:r>
      <w:r>
        <w:t xml:space="preserve">, miles per gallon, as a function of </w:t>
      </w:r>
      <w:r>
        <w:rPr>
          <w:b/>
          <w:bCs/>
        </w:rPr>
        <w:t>weight</w:t>
      </w:r>
      <w:r>
        <w:t xml:space="preserve">, car weight in pounds. We can use </w:t>
      </w:r>
      <w:r>
        <w:rPr>
          <w:b/>
          <w:bCs/>
        </w:rPr>
        <w:t>twoway lfitci</w:t>
      </w:r>
      <w:r>
        <w:t xml:space="preserve"> to graph the predicted miles per gallon from a linear regres</w:t>
      </w:r>
      <w:r>
        <w:t>sion, as well as the confidence interval:</w:t>
      </w:r>
    </w:p>
    <w:p w:rsidR="008935FD" w:rsidRDefault="005E2A53">
      <w:pPr>
        <w:spacing w:before="20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sysuse auto, clear</w:t>
      </w:r>
    </w:p>
    <w:p w:rsidR="008935FD" w:rsidRDefault="005E2A53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twoway lfitci mpg weight</w:t>
      </w:r>
    </w:p>
    <w:p w:rsidR="008935FD" w:rsidRDefault="005E2A53">
      <w:pPr>
        <w:spacing w:before="240" w:after="240"/>
      </w:pPr>
      <w:r>
        <w:t>To see how these predictions compare to our data, we can overlay a scatterplot of the actual data</w:t>
      </w:r>
    </w:p>
    <w:p w:rsidR="008935FD" w:rsidRDefault="005E2A53">
      <w:pPr>
        <w:spacing w:before="20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twoway lfitci mpg weight || scatter mpg weight, title(MPG as a functio</w:t>
      </w:r>
      <w:r>
        <w:rPr>
          <w:rFonts w:ascii="Courier New" w:eastAsia="Courier New" w:hAnsi="Courier New" w:cs="Courier New"/>
          <w:sz w:val="20"/>
          <w:szCs w:val="20"/>
        </w:rPr>
        <w:t>n of weight)</w:t>
      </w:r>
    </w:p>
    <w:p w:rsidR="008935FD" w:rsidRDefault="005E2A53">
      <w:pPr>
        <w:spacing w:before="240" w:after="240"/>
      </w:pPr>
      <w:r>
        <w:t>which produces the following graph:</w:t>
      </w:r>
    </w:p>
    <w:p w:rsidR="008935FD" w:rsidRDefault="005E2A53">
      <w:pPr>
        <w:spacing w:before="240" w:after="240"/>
      </w:pPr>
      <w:r>
        <w:rPr>
          <w:noProof/>
        </w:rPr>
        <w:lastRenderedPageBreak/>
        <w:drawing>
          <wp:inline distT="0" distB="0" distL="0" distR="0">
            <wp:extent cx="5943600" cy="4322618"/>
            <wp:effectExtent l="0" t="0" r="0" b="0"/>
            <wp:docPr id="100002" name="Picture 100002" descr="Graph of m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654453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2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5FD" w:rsidRDefault="005E2A53">
      <w:pPr>
        <w:spacing w:before="240" w:after="240"/>
      </w:pPr>
      <w:r>
        <w:t xml:space="preserve">We could have also created separate graphs for domestic and foreign cars with the </w:t>
      </w:r>
      <w:r>
        <w:rPr>
          <w:b/>
          <w:bCs/>
        </w:rPr>
        <w:t>by()</w:t>
      </w:r>
      <w:r>
        <w:t xml:space="preserve"> option. See </w:t>
      </w:r>
      <w:hyperlink r:id="rId6" w:history="1">
        <w:r>
          <w:rPr>
            <w:color w:val="0000EE"/>
            <w:u w:val="single" w:color="0000EE"/>
          </w:rPr>
          <w:t>graph twoway lfitci</w:t>
        </w:r>
      </w:hyperlink>
      <w:r>
        <w:t xml:space="preserve"> in the Stata Gr</w:t>
      </w:r>
      <w:r>
        <w:t>aphics Reference Manual for details.</w:t>
      </w:r>
    </w:p>
    <w:p w:rsidR="008935FD" w:rsidRDefault="005E2A53">
      <w:pPr>
        <w:ind w:left="15" w:right="15"/>
        <w:rPr>
          <w:color w:val="808080"/>
        </w:rPr>
      </w:pPr>
      <w:r>
        <w:pict>
          <v:rect id="_x0000_i1026" style="width:468pt;height:1.5pt" o:hralign="center" o:hrstd="t" o:hr="t" fillcolor="gray" stroked="f">
            <v:path strokeok="f"/>
          </v:rect>
        </w:pict>
      </w:r>
    </w:p>
    <w:p w:rsidR="008935FD" w:rsidRDefault="005E2A53">
      <w:pPr>
        <w:pStyle w:val="Heading2"/>
        <w:keepNext w:val="0"/>
        <w:spacing w:before="299" w:after="299"/>
      </w:pPr>
      <w:hyperlink w:anchor="diagnostic-plot" w:history="1">
        <w:bookmarkStart w:id="2" w:name="diagnostic-plot"/>
        <w:r>
          <w:rPr>
            <w:iCs w:val="0"/>
            <w:color w:val="0000EE"/>
            <w:u w:val="single" w:color="0000EE"/>
          </w:rPr>
          <w:t>Diagnostic plot</w:t>
        </w:r>
      </w:hyperlink>
      <w:bookmarkEnd w:id="2"/>
    </w:p>
    <w:p w:rsidR="008935FD" w:rsidRDefault="005E2A53">
      <w:pPr>
        <w:spacing w:before="240" w:after="240"/>
      </w:pPr>
      <w:r>
        <w:t xml:space="preserve">There are multiple diagnostic plots available for use after </w:t>
      </w:r>
      <w:r>
        <w:rPr>
          <w:b/>
          <w:bCs/>
        </w:rPr>
        <w:t>regress</w:t>
      </w:r>
      <w:r>
        <w:t xml:space="preserve">. Here, we use </w:t>
      </w:r>
      <w:r>
        <w:rPr>
          <w:b/>
          <w:bCs/>
        </w:rPr>
        <w:t>rvfplot</w:t>
      </w:r>
      <w:r>
        <w:t xml:space="preserve"> to graphically check for a relationship between the residuals and fitted values from our model. We regress </w:t>
      </w:r>
      <w:r>
        <w:rPr>
          <w:b/>
          <w:bCs/>
        </w:rPr>
        <w:t>mpg</w:t>
      </w:r>
      <w:r>
        <w:t xml:space="preserve"> on </w:t>
      </w:r>
      <w:r>
        <w:rPr>
          <w:b/>
          <w:bCs/>
        </w:rPr>
        <w:t>weight</w:t>
      </w:r>
      <w:r>
        <w:t xml:space="preserve"> and then issue </w:t>
      </w:r>
      <w:r>
        <w:rPr>
          <w:b/>
          <w:bCs/>
        </w:rPr>
        <w:t>rvfplot</w:t>
      </w:r>
      <w:r>
        <w:t>.</w:t>
      </w:r>
    </w:p>
    <w:p w:rsidR="008935FD" w:rsidRDefault="005E2A53">
      <w:pPr>
        <w:spacing w:before="20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regress mpg weight</w:t>
      </w:r>
    </w:p>
    <w:p w:rsidR="008935FD" w:rsidRDefault="005E2A53">
      <w:pPr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rvfplot, yline</w:t>
      </w:r>
      <w:bookmarkStart w:id="3" w:name="_GoBack"/>
      <w:bookmarkEnd w:id="3"/>
      <w:r>
        <w:rPr>
          <w:rFonts w:ascii="Courier New" w:eastAsia="Courier New" w:hAnsi="Courier New" w:cs="Courier New"/>
          <w:sz w:val="20"/>
          <w:szCs w:val="20"/>
        </w:rPr>
        <w:t>(0) title(Residuals versus fitted values)</w:t>
      </w:r>
    </w:p>
    <w:p w:rsidR="008935FD" w:rsidRDefault="005E2A53">
      <w:pPr>
        <w:spacing w:before="240" w:after="240"/>
      </w:pPr>
      <w:r>
        <w:t>The commands above produce the foll</w:t>
      </w:r>
      <w:r>
        <w:t>owing graph:</w:t>
      </w:r>
    </w:p>
    <w:p w:rsidR="008935FD" w:rsidRDefault="005E2A53">
      <w:pPr>
        <w:spacing w:before="240" w:after="240"/>
      </w:pPr>
      <w:r>
        <w:rPr>
          <w:noProof/>
        </w:rPr>
        <w:lastRenderedPageBreak/>
        <w:drawing>
          <wp:inline distT="0" distB="0" distL="0" distR="0">
            <wp:extent cx="5943600" cy="4322618"/>
            <wp:effectExtent l="0" t="0" r="0" b="0"/>
            <wp:docPr id="100004" name="Picture 100004" descr="Diagnostic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419977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2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5FD" w:rsidRDefault="005E2A53">
      <w:pPr>
        <w:ind w:left="15" w:right="15"/>
        <w:rPr>
          <w:color w:val="808080"/>
        </w:rPr>
      </w:pPr>
      <w:r>
        <w:pict>
          <v:rect id="_x0000_i1027" style="width:468pt;height:1.5pt" o:hralign="center" o:hrstd="t" o:hr="t" fillcolor="gray" stroked="f">
            <v:path strokeok="f"/>
          </v:rect>
        </w:pict>
      </w:r>
    </w:p>
    <w:sectPr w:rsidR="008935F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8935FD"/>
    <w:rsid w:val="005E2A53"/>
    <w:rsid w:val="0089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tata.com/manuals/g-2graphtwowaylfitci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</cp:revision>
  <dcterms:created xsi:type="dcterms:W3CDTF">2019-04-04T19:51:00Z</dcterms:created>
  <dcterms:modified xsi:type="dcterms:W3CDTF">2019-04-04T19:51:00Z</dcterms:modified>
</cp:coreProperties>
</file>